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cs="Times New Roman"/>
          <w:b/>
          <w:bCs/>
          <w:sz w:val="44"/>
          <w:szCs w:val="44"/>
        </w:rPr>
        <w:t>洛阳市</w:t>
      </w:r>
      <w:r>
        <w:rPr>
          <w:rFonts w:hint="eastAsia" w:ascii="宋体" w:hAnsi="宋体" w:cs="Times New Roman"/>
          <w:b/>
          <w:bCs/>
          <w:sz w:val="44"/>
          <w:szCs w:val="44"/>
          <w:lang w:eastAsia="zh-CN"/>
        </w:rPr>
        <w:t>东西南隅历史文化街区</w:t>
      </w: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修建性</w:t>
      </w:r>
    </w:p>
    <w:p>
      <w:pPr>
        <w:widowControl w:val="0"/>
        <w:wordWrap/>
        <w:adjustRightInd w:val="0"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详细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规划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2019-2035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规划范围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规划范围：北起中州路，南至南城河，东依小区西界，西抵金业路，规划面积94.15公顷。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51184924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二、规划原则</w:t>
      </w:r>
    </w:p>
    <w:bookmarkEnd w:id="0"/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1" w:name="_Toc511849249"/>
      <w:r>
        <w:rPr>
          <w:rFonts w:hint="eastAsia" w:ascii="仿宋" w:hAnsi="仿宋" w:eastAsia="仿宋" w:cs="仿宋"/>
          <w:sz w:val="32"/>
          <w:szCs w:val="32"/>
        </w:rPr>
        <w:t>根据街区保护与整治所面临的问题，提出以下针对性的规划原则：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确保历史文化街区的历史真实性，坚持街区空间格局的整体性保护； 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 确保历史文化街区传统风貌的完整性，强调街区传统景观的网络化保护； 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确保历史文化街区传统功能的连续性，在功能修补的过程中不断完善街区的城市功能；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确保历史文化街区生活环境的改善与提升，在生态修复的过程中促进基础设施的有效及合理更新；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将老城保护与发展与隋唐洛阳城的保护与发展联动考虑，充分展现不同历史时期的文化遗产，强化老城多元历史、更叠兴替的空间格局，完整体现洛阳“大历史、大都会、大景观”的历史特色。</w:t>
      </w:r>
    </w:p>
    <w:bookmarkEnd w:id="1"/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规划目标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多层次、全方位展现东、西南隅历史文化街区的核心价值；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在发展中保护街区整体历史空间格局和文脉；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改善各类文物、历史建筑、传统民居群落和传统街巷系统的历史环境；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落实各类非物质文化遗产保护发展的物质空间，保护与街区发展相关的其它文化资源；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在保证街区空间格局整体性、传统生活连续性、历史遗存真实性的基础上，提出街区“城市双修”的方向与策略；</w:t>
      </w:r>
    </w:p>
    <w:p>
      <w:pPr>
        <w:widowControl w:val="0"/>
        <w:wordWrap/>
        <w:spacing w:beforeAutospacing="0" w:afterAutospacing="0" w:line="52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根据城市发展方向提出既有大量旧建筑改造与再利用的多元模式，为街区社会经济振兴奠定物质基础。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四、总体布局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总体布局结构为：一环、两轴、五片、六节点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“一环” ：老城城墙遗址-城河文化公园。在清理整治城墙遗址、梳理城河景观的基础上塑造环城文化公园，使其成为展示宋金-明清洛阳老城历史文化的地标，为城市提供有地方特色和文化意义的公共文化活动空间；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“两轴” ：以东西、南北大街形成传统文化与休闲商业文化十字轴，西大街以传统商业功能为主，东大街以古代书院文化、传统民俗功能为主，北大街形成带状博物馆群，南大街形成景观大道，在强化传统商业文化功能的同时突出老城自隋唐以来的历史文脉，形成开放性的带状博物馆群；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“五片” ：1. 以府文庙-鼓楼-妥灵宫-玉虚观,建筑群及遗址公园为中心，形成以儒学思想、祭祀文化、古代书院文化、地方文艺为核心内容的传统文化片区。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 以丽景门-府城隍庙-西大街传统商业群落-公园巷民国建筑群为中心，形成民俗展示、传统餐饮和娱乐休闲为主要功能的传统商业片区。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 以庄家大院-史家大院-潘家大院等历史建筑为中心，形成反映传统院落民居文化和市井生活主题的传统大院文化片区。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 以周南驿-五圣堂建筑群及遗址为中心，形成反映驿站文化的综合性、多功能博览展示片区。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 以宣仁门-北宋衙署遗址为中心，形成反映唐宋文化特色的遗址及文化空间节点。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“六节点” ：魏家街-传统大院文创文化节点；宣仁门-文化遗产节点；安国寺-佛教文化节点；府文庙-科举文化展示节点；文峰塔-文化景观公园节点；城隍庙-文化节点。  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欢迎广大市民对该规划提出宝贵意见。</w:t>
      </w:r>
    </w:p>
    <w:p>
      <w:pPr>
        <w:widowControl w:val="0"/>
        <w:wordWrap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意见接收邮箱：lymck801@163.com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pStyle w:val="2"/>
      <w:lvlText w:val="第%1条"/>
      <w:lvlJc w:val="left"/>
      <w:pPr>
        <w:ind w:left="4531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3887"/>
    <w:rsid w:val="22025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Dutch801 Rm BT" w:hAnsi="Dutch801 Rm BT" w:eastAsia="宋体" w:cs="Dutch801 Rm BT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uiPriority w:val="0"/>
    <w:pPr>
      <w:keepNext/>
      <w:keepLines/>
      <w:numPr>
        <w:ilvl w:val="0"/>
        <w:numId w:val="1"/>
      </w:numPr>
      <w:snapToGrid w:val="0"/>
      <w:contextualSpacing/>
      <w:outlineLvl w:val="0"/>
    </w:pPr>
    <w:rPr>
      <w:rFonts w:eastAsia="黑体"/>
      <w:b/>
      <w:bCs/>
      <w:kern w:val="44"/>
      <w:szCs w:val="44"/>
    </w:rPr>
  </w:style>
  <w:style w:type="paragraph" w:styleId="4">
    <w:name w:val="heading 3"/>
    <w:basedOn w:val="1"/>
    <w:next w:val="1"/>
    <w:link w:val="10"/>
    <w:uiPriority w:val="0"/>
    <w:pPr>
      <w:keepNext/>
      <w:keepLines/>
      <w:spacing w:line="360" w:lineRule="auto"/>
      <w:ind w:left="709"/>
      <w:jc w:val="left"/>
      <w:outlineLvl w:val="2"/>
    </w:pPr>
    <w:rPr>
      <w:rFonts w:ascii="Times New Roman" w:hAnsi="Times New Roman" w:eastAsia="宋体" w:cs="Times New Roman"/>
      <w:b/>
      <w:bCs/>
      <w:sz w:val="24"/>
      <w:szCs w:val="24"/>
      <w:lang w:val="zh-CN" w:eastAsia="zh-CN"/>
    </w:rPr>
  </w:style>
  <w:style w:type="paragraph" w:styleId="5">
    <w:name w:val="heading 5"/>
    <w:basedOn w:val="1"/>
    <w:next w:val="1"/>
    <w:link w:val="11"/>
    <w:qFormat/>
    <w:uiPriority w:val="0"/>
    <w:pPr>
      <w:keepNext/>
      <w:keepLines/>
      <w:spacing w:before="280" w:after="290" w:line="376" w:lineRule="auto"/>
      <w:outlineLvl w:val="4"/>
    </w:pPr>
    <w:rPr>
      <w:rFonts w:ascii="Dutch801 Rm BT" w:hAnsi="Dutch801 Rm BT" w:eastAsia="宋体" w:cs="Dutch801 Rm BT"/>
      <w:b/>
      <w:bCs/>
      <w:sz w:val="28"/>
      <w:szCs w:val="28"/>
    </w:rPr>
  </w:style>
  <w:style w:type="character" w:default="1" w:styleId="8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 Spacing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basedOn w:val="8"/>
    <w:link w:val="4"/>
    <w:semiHidden/>
    <w:uiPriority w:val="0"/>
    <w:rPr>
      <w:rFonts w:ascii="Times New Roman" w:hAnsi="Times New Roman" w:eastAsia="宋体" w:cs="Times New Roman"/>
      <w:b/>
      <w:bCs/>
      <w:sz w:val="24"/>
      <w:szCs w:val="24"/>
      <w:lang w:val="zh-CN" w:eastAsia="zh-CN"/>
    </w:rPr>
  </w:style>
  <w:style w:type="character" w:customStyle="1" w:styleId="11">
    <w:name w:val="标题 5 Char"/>
    <w:basedOn w:val="8"/>
    <w:link w:val="5"/>
    <w:semiHidden/>
    <w:uiPriority w:val="0"/>
    <w:rPr>
      <w:rFonts w:ascii="Dutch801 Rm BT" w:hAnsi="Dutch801 Rm BT" w:eastAsia="宋体" w:cs="Dutch801 Rm BT"/>
      <w:b/>
      <w:bCs/>
      <w:sz w:val="28"/>
      <w:szCs w:val="28"/>
    </w:rPr>
  </w:style>
  <w:style w:type="character" w:customStyle="1" w:styleId="12">
    <w:name w:val="页脚 Char"/>
    <w:basedOn w:val="8"/>
    <w:link w:val="6"/>
    <w:semiHidden/>
    <w:uiPriority w:val="0"/>
    <w:rPr>
      <w:sz w:val="18"/>
      <w:szCs w:val="18"/>
    </w:rPr>
  </w:style>
  <w:style w:type="character" w:customStyle="1" w:styleId="13">
    <w:name w:val="页眉 Char"/>
    <w:basedOn w:val="8"/>
    <w:link w:val="7"/>
    <w:semiHidden/>
    <w:uiPriority w:val="0"/>
    <w:rPr>
      <w:sz w:val="18"/>
      <w:szCs w:val="18"/>
    </w:rPr>
  </w:style>
  <w:style w:type="paragraph" w:customStyle="1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List Paragraph"/>
    <w:basedOn w:val="1"/>
    <w:uiPriority w:val="0"/>
    <w:pPr>
      <w:ind w:firstLine="420" w:firstLineChars="200"/>
    </w:pPr>
  </w:style>
  <w:style w:type="paragraph" w:customStyle="1" w:styleId="16">
    <w:name w:val="p0"/>
    <w:basedOn w:val="1"/>
    <w:uiPriority w:val="0"/>
    <w:pPr>
      <w:widowControl/>
      <w:spacing w:before="156" w:after="156" w:line="360" w:lineRule="auto"/>
      <w:ind w:firstLine="420" w:firstLineChars="200"/>
    </w:pPr>
    <w:rPr>
      <w:rFonts w:ascii="Times New Roman" w:hAnsi="Times New Roman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1285</Characters>
  <Lines>10</Lines>
  <Paragraphs>3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2019-09-17T17:45:00Z</dcterms:created>
  <dc:creator>Administrator</dc:creator>
  <cp:lastModifiedBy>Administrator</cp:lastModifiedBy>
  <cp:lastPrinted>2019-11-01T10:06:00Z</cp:lastPrinted>
  <dcterms:modified xsi:type="dcterms:W3CDTF">2019-12-05T01:45:18Z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